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0D52" w14:textId="6DC71DC9" w:rsidR="00FC125B" w:rsidRPr="00FC125B" w:rsidRDefault="00FC125B" w:rsidP="00FC125B">
      <w:pPr>
        <w:jc w:val="center"/>
        <w:rPr>
          <w:b/>
          <w:bCs/>
        </w:rPr>
      </w:pPr>
      <w:r>
        <w:rPr>
          <w:b/>
          <w:bCs/>
        </w:rPr>
        <w:t>Lay Outcomes</w:t>
      </w:r>
    </w:p>
    <w:p w14:paraId="42459774" w14:textId="12C9C9B0" w:rsidR="00FC125B" w:rsidRDefault="00FC125B">
      <w:r w:rsidRPr="00FC125B">
        <w:t xml:space="preserve">- We have one publication in preparation for submission this month and another for submission within the next six months.  </w:t>
      </w:r>
    </w:p>
    <w:p w14:paraId="04EEA2C6" w14:textId="77777777" w:rsidR="00FC125B" w:rsidRDefault="00FC125B">
      <w:r w:rsidRPr="00FC125B">
        <w:t xml:space="preserve">- We have obtained R01 level funding from the NCI/NIH based on our findings.   </w:t>
      </w:r>
    </w:p>
    <w:p w14:paraId="2C534D50" w14:textId="77777777" w:rsidR="00FC125B" w:rsidRDefault="00FC125B">
      <w:r w:rsidRPr="00FC125B">
        <w:t xml:space="preserve">- We have identified that PI3K inhibitors and direct targeting of SEMA7A may eradicate metastatic disease  </w:t>
      </w:r>
    </w:p>
    <w:p w14:paraId="6F531079" w14:textId="51E72A6C" w:rsidR="00FC125B" w:rsidRDefault="00FC125B">
      <w:r w:rsidRPr="00FC125B">
        <w:t xml:space="preserve">- We are working toward novel clinical trials with available PI3K inhibitors and are commercializing our SEMA7A monoclonal antibody for future clinical trials in the next 3-5 years.  </w:t>
      </w:r>
    </w:p>
    <w:sectPr w:rsidR="00FC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5B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2EC5"/>
  <w15:chartTrackingRefBased/>
  <w15:docId w15:val="{236F8642-BDA2-40A3-93CA-98BBE727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2024-04-02T19:28:00Z</dcterms:created>
  <dcterms:modified xsi:type="dcterms:W3CDTF">2024-04-02T19:29:00Z</dcterms:modified>
</cp:coreProperties>
</file>